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00"/>
        <w:jc w:val="center"/>
        <w:rPr>
          <w:rFonts w:ascii="Times New Roman" w:cs="Times New Roman" w:eastAsia="黑体" w:hAnsi="Times New Roman"/>
          <w:sz w:val="44"/>
          <w:szCs w:val="44"/>
        </w:rPr>
      </w:pPr>
      <w:r>
        <w:rPr>
          <w:rFonts w:ascii="Times New Roman" w:cs="Times New Roman" w:eastAsia="黑体" w:hAnsi="Times New Roman" w:hint="eastAsia"/>
          <w:sz w:val="44"/>
          <w:szCs w:val="44"/>
        </w:rPr>
        <w:t>霍林郭勒市</w:t>
      </w:r>
      <w:r>
        <w:rPr>
          <w:rFonts w:ascii="Times New Roman" w:cs="Times New Roman" w:eastAsia="黑体" w:hAnsi="Times New Roman"/>
          <w:sz w:val="44"/>
          <w:szCs w:val="44"/>
        </w:rPr>
        <w:t>简介</w:t>
      </w:r>
    </w:p>
    <w:p>
      <w:pPr>
        <w:pStyle w:val="style0"/>
        <w:spacing w:lineRule="exact" w:line="600"/>
        <w:ind w:firstLine="640" w:firstLineChars="200"/>
        <w:rPr>
          <w:rFonts w:ascii="Times New Roman" w:cs="Times New Roman" w:eastAsia="仿宋" w:hAnsi="仿宋"/>
          <w:sz w:val="32"/>
          <w:szCs w:val="32"/>
        </w:rPr>
      </w:pPr>
    </w:p>
    <w:p>
      <w:pPr>
        <w:pStyle w:val="style0"/>
        <w:spacing w:lineRule="exact" w:line="600"/>
        <w:ind w:firstLine="640" w:firstLineChars="200"/>
        <w:rPr>
          <w:rFonts w:ascii="Times New Roman" w:cs="Times New Roman" w:eastAsia="仿宋" w:hAnsi="仿宋"/>
          <w:sz w:val="32"/>
          <w:szCs w:val="32"/>
        </w:rPr>
      </w:pPr>
      <w:r>
        <w:rPr>
          <w:rFonts w:ascii="Times New Roman" w:cs="Times New Roman" w:eastAsia="仿宋" w:hAnsi="仿宋"/>
          <w:sz w:val="32"/>
          <w:szCs w:val="32"/>
        </w:rPr>
        <w:t>霍林郭勒地处蒙东、呼应东北、联通俄蒙，是一座特色鲜明的新型能源工业城市，</w:t>
      </w:r>
      <w:r>
        <w:rPr>
          <w:rFonts w:ascii="Times New Roman" w:cs="Times New Roman" w:eastAsia="仿宋" w:hAnsi="Times New Roman"/>
          <w:sz w:val="32"/>
          <w:szCs w:val="32"/>
        </w:rPr>
        <w:t>1976</w:t>
      </w:r>
      <w:r>
        <w:rPr>
          <w:rFonts w:ascii="Times New Roman" w:cs="Times New Roman" w:eastAsia="仿宋" w:hAnsi="仿宋"/>
          <w:sz w:val="32"/>
          <w:szCs w:val="32"/>
        </w:rPr>
        <w:t>年建矿、</w:t>
      </w:r>
      <w:r>
        <w:rPr>
          <w:rFonts w:ascii="Times New Roman" w:cs="Times New Roman" w:eastAsia="仿宋" w:hAnsi="Times New Roman"/>
          <w:sz w:val="32"/>
          <w:szCs w:val="32"/>
        </w:rPr>
        <w:t>1985</w:t>
      </w:r>
      <w:r>
        <w:rPr>
          <w:rFonts w:ascii="Times New Roman" w:cs="Times New Roman" w:eastAsia="仿宋" w:hAnsi="仿宋"/>
          <w:sz w:val="32"/>
          <w:szCs w:val="32"/>
        </w:rPr>
        <w:t>年建市，总面积</w:t>
      </w:r>
      <w:r>
        <w:rPr>
          <w:rFonts w:ascii="Times New Roman" w:cs="Times New Roman" w:eastAsia="仿宋" w:hAnsi="Times New Roman"/>
          <w:sz w:val="32"/>
          <w:szCs w:val="32"/>
        </w:rPr>
        <w:t>1390</w:t>
      </w:r>
      <w:r>
        <w:rPr>
          <w:rFonts w:ascii="Times New Roman" w:cs="Times New Roman" w:eastAsia="仿宋" w:hAnsi="仿宋"/>
          <w:sz w:val="32"/>
          <w:szCs w:val="32"/>
        </w:rPr>
        <w:t>平方公里</w:t>
      </w:r>
      <w:r>
        <w:rPr>
          <w:rFonts w:ascii="Times New Roman" w:cs="Times New Roman" w:eastAsia="仿宋" w:hAnsi="仿宋" w:hint="eastAsia"/>
          <w:sz w:val="32"/>
          <w:szCs w:val="32"/>
        </w:rPr>
        <w:t>（其中涵盖生态保护区805平方公里）</w:t>
      </w:r>
      <w:r>
        <w:rPr>
          <w:rFonts w:ascii="Times New Roman" w:cs="Times New Roman" w:eastAsia="仿宋" w:hAnsi="仿宋"/>
          <w:sz w:val="32"/>
          <w:szCs w:val="32"/>
        </w:rPr>
        <w:t>，总人口</w:t>
      </w:r>
      <w:r>
        <w:rPr>
          <w:rFonts w:ascii="Times New Roman" w:cs="Times New Roman" w:eastAsia="仿宋" w:hAnsi="Times New Roman"/>
          <w:sz w:val="32"/>
          <w:szCs w:val="32"/>
        </w:rPr>
        <w:t>12</w:t>
      </w:r>
      <w:r>
        <w:rPr>
          <w:rFonts w:ascii="Times New Roman" w:cs="Times New Roman" w:eastAsia="仿宋" w:hAnsi="仿宋"/>
          <w:sz w:val="32"/>
          <w:szCs w:val="32"/>
        </w:rPr>
        <w:t>万人，其中蒙古族人口占</w:t>
      </w:r>
      <w:r>
        <w:rPr>
          <w:rFonts w:ascii="Times New Roman" w:cs="Times New Roman" w:eastAsia="仿宋" w:hAnsi="Times New Roman"/>
          <w:sz w:val="32"/>
          <w:szCs w:val="32"/>
        </w:rPr>
        <w:t>37.8%</w:t>
      </w:r>
      <w:r>
        <w:rPr>
          <w:rFonts w:ascii="Times New Roman" w:cs="Times New Roman" w:eastAsia="仿宋" w:hAnsi="仿宋"/>
          <w:sz w:val="32"/>
          <w:szCs w:val="32"/>
        </w:rPr>
        <w:t>。作为国家亿吨级煤田生产基地、蒙东和东北地区重要能源基地和国家重点打造的重要高端铝材产业集群，近年来，依托境内较为丰富的褐煤资源，在煤炭就地转化、电力多元消纳、原铝精深加工、科技研发应用等方面持续发力，扎实推进能源工业城市转型发展，煤电用一体化为主要架构的</w:t>
      </w:r>
      <w:r>
        <w:rPr>
          <w:rFonts w:ascii="Times New Roman" w:cs="Times New Roman" w:eastAsia="仿宋" w:hAnsi="Times New Roman"/>
          <w:sz w:val="32"/>
          <w:szCs w:val="32"/>
        </w:rPr>
        <w:t>“</w:t>
      </w:r>
      <w:r>
        <w:rPr>
          <w:rFonts w:ascii="Times New Roman" w:cs="Times New Roman" w:eastAsia="仿宋" w:hAnsi="仿宋"/>
          <w:sz w:val="32"/>
          <w:szCs w:val="32"/>
        </w:rPr>
        <w:t>霍林河模式</w:t>
      </w:r>
      <w:r>
        <w:rPr>
          <w:rFonts w:ascii="Times New Roman" w:cs="Times New Roman" w:eastAsia="仿宋" w:hAnsi="Times New Roman"/>
          <w:sz w:val="32"/>
          <w:szCs w:val="32"/>
        </w:rPr>
        <w:t>”</w:t>
      </w:r>
      <w:r>
        <w:rPr>
          <w:rFonts w:ascii="Times New Roman" w:cs="Times New Roman" w:eastAsia="仿宋" w:hAnsi="仿宋"/>
          <w:sz w:val="32"/>
          <w:szCs w:val="32"/>
        </w:rPr>
        <w:t>受到自治区肯定</w:t>
      </w:r>
      <w:r>
        <w:rPr>
          <w:rFonts w:ascii="Times New Roman" w:cs="Times New Roman" w:eastAsia="仿宋" w:hAnsi="仿宋" w:hint="eastAsia"/>
          <w:sz w:val="32"/>
          <w:szCs w:val="32"/>
        </w:rPr>
        <w:t>。</w:t>
      </w:r>
      <w:r>
        <w:rPr>
          <w:rFonts w:ascii="Times New Roman" w:cs="Times New Roman" w:eastAsia="仿宋" w:hAnsi="Times New Roman" w:hint="eastAsia"/>
          <w:sz w:val="32"/>
          <w:szCs w:val="32"/>
        </w:rPr>
        <w:t>主导产业</w:t>
      </w:r>
      <w:r>
        <w:rPr>
          <w:rFonts w:ascii="Times New Roman" w:cs="Times New Roman" w:eastAsia="仿宋" w:hAnsi="Times New Roman"/>
          <w:sz w:val="32"/>
          <w:szCs w:val="32"/>
        </w:rPr>
        <w:t>“</w:t>
      </w:r>
      <w:r>
        <w:rPr>
          <w:rFonts w:ascii="Times New Roman" w:cs="Times New Roman" w:eastAsia="仿宋" w:hAnsi="仿宋"/>
          <w:sz w:val="32"/>
          <w:szCs w:val="32"/>
        </w:rPr>
        <w:t>煤电网铝加</w:t>
      </w:r>
      <w:r>
        <w:rPr>
          <w:rFonts w:ascii="Times New Roman" w:cs="Times New Roman" w:eastAsia="仿宋" w:hAnsi="Times New Roman"/>
          <w:sz w:val="32"/>
          <w:szCs w:val="32"/>
        </w:rPr>
        <w:t>”</w:t>
      </w:r>
      <w:r>
        <w:rPr>
          <w:rFonts w:ascii="Times New Roman" w:cs="Times New Roman" w:eastAsia="仿宋" w:hAnsi="仿宋"/>
          <w:sz w:val="32"/>
          <w:szCs w:val="32"/>
        </w:rPr>
        <w:t>产业雏形和竞争优势初步形成</w:t>
      </w:r>
      <w:r>
        <w:rPr>
          <w:rFonts w:ascii="Times New Roman" w:cs="Times New Roman" w:eastAsia="仿宋" w:hAnsi="仿宋" w:hint="eastAsia"/>
          <w:sz w:val="32"/>
          <w:szCs w:val="32"/>
        </w:rPr>
        <w:t>。</w:t>
      </w:r>
    </w:p>
    <w:p>
      <w:pPr>
        <w:pStyle w:val="style0"/>
        <w:spacing w:lineRule="exact" w:line="600"/>
        <w:ind w:firstLine="640" w:firstLineChars="200"/>
        <w:rPr>
          <w:rFonts w:ascii="Times New Roman" w:cs="Times New Roman" w:eastAsia="仿宋_GB2312" w:hAnsi="Times New Roman"/>
          <w:sz w:val="32"/>
          <w:szCs w:val="32"/>
        </w:rPr>
      </w:pPr>
      <w:r>
        <w:rPr>
          <w:rFonts w:ascii="Times New Roman" w:cs="Times New Roman" w:eastAsia="仿宋" w:hAnsi="Times New Roman"/>
          <w:sz w:val="32"/>
          <w:szCs w:val="32"/>
        </w:rPr>
        <w:t>2018</w:t>
      </w:r>
      <w:r>
        <w:rPr>
          <w:rFonts w:ascii="Times New Roman" w:cs="Times New Roman" w:eastAsia="仿宋" w:hAnsi="仿宋"/>
          <w:sz w:val="32"/>
          <w:szCs w:val="32"/>
        </w:rPr>
        <w:t>年，完成地区生产总值</w:t>
      </w:r>
      <w:r>
        <w:rPr>
          <w:rFonts w:ascii="Times New Roman" w:cs="Times New Roman" w:eastAsia="仿宋" w:hAnsi="Times New Roman"/>
          <w:sz w:val="32"/>
          <w:szCs w:val="32"/>
        </w:rPr>
        <w:t>166</w:t>
      </w:r>
      <w:r>
        <w:rPr>
          <w:rFonts w:ascii="Times New Roman" w:cs="Times New Roman" w:eastAsia="仿宋" w:hAnsi="仿宋"/>
          <w:sz w:val="32"/>
          <w:szCs w:val="32"/>
        </w:rPr>
        <w:t>亿元，一般公共预算收入</w:t>
      </w:r>
      <w:r>
        <w:rPr>
          <w:rFonts w:ascii="Times New Roman" w:cs="Times New Roman" w:eastAsia="仿宋" w:hAnsi="Times New Roman"/>
          <w:sz w:val="32"/>
          <w:szCs w:val="32"/>
        </w:rPr>
        <w:t>15.7</w:t>
      </w:r>
      <w:r>
        <w:rPr>
          <w:rFonts w:ascii="Times New Roman" w:cs="Times New Roman" w:eastAsia="仿宋" w:hAnsi="仿宋"/>
          <w:sz w:val="32"/>
          <w:szCs w:val="32"/>
        </w:rPr>
        <w:t>亿元，全社会固定资产投资</w:t>
      </w:r>
      <w:r>
        <w:rPr>
          <w:rFonts w:ascii="Times New Roman" w:cs="Times New Roman" w:eastAsia="仿宋" w:hAnsi="Times New Roman"/>
          <w:sz w:val="32"/>
          <w:szCs w:val="32"/>
        </w:rPr>
        <w:t>75.8</w:t>
      </w:r>
      <w:r>
        <w:rPr>
          <w:rFonts w:ascii="Times New Roman" w:cs="Times New Roman" w:eastAsia="仿宋" w:hAnsi="仿宋"/>
          <w:sz w:val="32"/>
          <w:szCs w:val="32"/>
        </w:rPr>
        <w:t>亿元，社会消费品零售总额</w:t>
      </w:r>
      <w:r>
        <w:rPr>
          <w:rFonts w:ascii="Times New Roman" w:cs="Times New Roman" w:eastAsia="仿宋" w:hAnsi="Times New Roman"/>
          <w:sz w:val="32"/>
          <w:szCs w:val="32"/>
        </w:rPr>
        <w:t>44.6</w:t>
      </w:r>
      <w:r>
        <w:rPr>
          <w:rFonts w:ascii="Times New Roman" w:cs="Times New Roman" w:eastAsia="仿宋" w:hAnsi="仿宋"/>
          <w:sz w:val="32"/>
          <w:szCs w:val="32"/>
        </w:rPr>
        <w:t>亿元，城乡居民人均可支配收入</w:t>
      </w:r>
      <w:r>
        <w:rPr>
          <w:rFonts w:ascii="Times New Roman" w:cs="Times New Roman" w:eastAsia="仿宋" w:hAnsi="Times New Roman"/>
          <w:sz w:val="32"/>
          <w:szCs w:val="32"/>
        </w:rPr>
        <w:t>43081</w:t>
      </w:r>
      <w:r>
        <w:rPr>
          <w:rFonts w:ascii="Times New Roman" w:cs="Times New Roman" w:eastAsia="仿宋" w:hAnsi="仿宋"/>
          <w:sz w:val="32"/>
          <w:szCs w:val="32"/>
        </w:rPr>
        <w:t>元，位居中国西部百强县第</w:t>
      </w:r>
      <w:r>
        <w:rPr>
          <w:rFonts w:ascii="Times New Roman" w:cs="Times New Roman" w:eastAsia="仿宋" w:hAnsi="Times New Roman"/>
          <w:sz w:val="32"/>
          <w:szCs w:val="32"/>
        </w:rPr>
        <w:t>26</w:t>
      </w:r>
      <w:r>
        <w:rPr>
          <w:rFonts w:ascii="Times New Roman" w:cs="Times New Roman" w:eastAsia="仿宋" w:hAnsi="仿宋"/>
          <w:sz w:val="32"/>
          <w:szCs w:val="32"/>
        </w:rPr>
        <w:t>位。在国务院首次界定的</w:t>
      </w:r>
      <w:r>
        <w:rPr>
          <w:rFonts w:ascii="Times New Roman" w:cs="Times New Roman" w:eastAsia="仿宋" w:hAnsi="Times New Roman"/>
          <w:sz w:val="32"/>
          <w:szCs w:val="32"/>
        </w:rPr>
        <w:t>262</w:t>
      </w:r>
      <w:r>
        <w:rPr>
          <w:rFonts w:ascii="Times New Roman" w:cs="Times New Roman" w:eastAsia="仿宋" w:hAnsi="仿宋"/>
          <w:sz w:val="32"/>
          <w:szCs w:val="32"/>
        </w:rPr>
        <w:t>个资源型城市中，被列为</w:t>
      </w:r>
      <w:r>
        <w:rPr>
          <w:rFonts w:ascii="Times New Roman" w:cs="Times New Roman" w:eastAsia="仿宋" w:hAnsi="Times New Roman"/>
          <w:sz w:val="32"/>
          <w:szCs w:val="32"/>
        </w:rPr>
        <w:t>31</w:t>
      </w:r>
      <w:r>
        <w:rPr>
          <w:rFonts w:ascii="Times New Roman" w:cs="Times New Roman" w:eastAsia="仿宋" w:hAnsi="仿宋"/>
          <w:sz w:val="32"/>
          <w:szCs w:val="32"/>
        </w:rPr>
        <w:t>个成长型城市之一；被国家确定为新型工业化产业示范基地和首批循环经济示范市；是国家重点打造的高端铝材产业集群；被中国有色金属工业协会评价为</w:t>
      </w:r>
      <w:r>
        <w:rPr>
          <w:rFonts w:ascii="Times New Roman" w:cs="Times New Roman" w:eastAsia="仿宋" w:hAnsi="Times New Roman"/>
          <w:sz w:val="32"/>
          <w:szCs w:val="32"/>
        </w:rPr>
        <w:t>“</w:t>
      </w:r>
      <w:r>
        <w:rPr>
          <w:rFonts w:ascii="Times New Roman" w:cs="Times New Roman" w:eastAsia="仿宋" w:hAnsi="仿宋"/>
          <w:sz w:val="32"/>
          <w:szCs w:val="32"/>
        </w:rPr>
        <w:t>中国最适合发展煤电铝产业的地区</w:t>
      </w:r>
      <w:r>
        <w:rPr>
          <w:rFonts w:ascii="Times New Roman" w:cs="Times New Roman" w:eastAsia="仿宋" w:hAnsi="Times New Roman"/>
          <w:sz w:val="32"/>
          <w:szCs w:val="32"/>
        </w:rPr>
        <w:t>”</w:t>
      </w:r>
      <w:r>
        <w:rPr>
          <w:rFonts w:ascii="Times New Roman" w:cs="Times New Roman" w:eastAsia="仿宋" w:hAnsi="仿宋"/>
          <w:sz w:val="32"/>
          <w:szCs w:val="32"/>
        </w:rPr>
        <w:t>。</w:t>
      </w:r>
    </w:p>
    <w:p>
      <w:pPr>
        <w:pStyle w:val="style0"/>
        <w:spacing w:lineRule="exact" w:line="600"/>
        <w:ind w:firstLine="640" w:firstLineChars="200"/>
        <w:rPr>
          <w:rFonts w:ascii="楷体" w:cs="Times New Roman" w:eastAsia="楷体" w:hAnsi="楷体"/>
          <w:b/>
          <w:sz w:val="32"/>
          <w:szCs w:val="32"/>
          <w:u w:val="single"/>
        </w:rPr>
      </w:pPr>
      <w:r>
        <w:rPr>
          <w:rFonts w:ascii="Times New Roman" w:cs="Times New Roman" w:eastAsia="黑体" w:hAnsi="Times New Roman" w:hint="eastAsia"/>
          <w:sz w:val="32"/>
          <w:szCs w:val="32"/>
          <w:lang w:val="en-US" w:eastAsia="zh-CN"/>
        </w:rPr>
        <w:t>一、</w:t>
      </w:r>
      <w:r>
        <w:rPr>
          <w:rFonts w:ascii="Times New Roman" w:cs="Times New Roman" w:eastAsia="黑体" w:hAnsi="Times New Roman"/>
          <w:sz w:val="32"/>
          <w:szCs w:val="32"/>
        </w:rPr>
        <w:t>发展定位</w:t>
      </w:r>
    </w:p>
    <w:p>
      <w:pPr>
        <w:pStyle w:val="style0"/>
        <w:spacing w:lineRule="exact" w:line="600"/>
        <w:ind w:firstLine="640" w:firstLineChars="200"/>
        <w:rPr>
          <w:rFonts w:ascii="Times New Roman" w:cs="Times New Roman" w:eastAsia="楷体" w:hAnsi="Times New Roman"/>
          <w:sz w:val="32"/>
          <w:szCs w:val="32"/>
        </w:rPr>
      </w:pPr>
      <w:r>
        <w:rPr>
          <w:rFonts w:ascii="Times New Roman" w:cs="Times New Roman" w:eastAsia="楷体" w:hAnsi="Times New Roman"/>
          <w:sz w:val="32"/>
          <w:szCs w:val="32"/>
        </w:rPr>
        <w:t>倾力打造“五链四区三城两基地”</w:t>
      </w:r>
      <w:r>
        <w:rPr>
          <w:rFonts w:ascii="Times New Roman" w:cs="Times New Roman" w:eastAsia="楷体" w:hAnsi="Times New Roman" w:hint="eastAsia"/>
          <w:sz w:val="32"/>
          <w:szCs w:val="32"/>
          <w:lang w:eastAsia="zh-CN"/>
        </w:rPr>
        <w:t>，</w:t>
      </w:r>
      <w:r>
        <w:rPr>
          <w:rFonts w:ascii="Times New Roman" w:cs="Times New Roman" w:eastAsia="楷体" w:hAnsi="Times New Roman" w:hint="eastAsia"/>
          <w:sz w:val="32"/>
          <w:szCs w:val="32"/>
          <w:lang w:val="en-US" w:eastAsia="zh-CN"/>
        </w:rPr>
        <w:t>即</w:t>
      </w:r>
      <w:r>
        <w:rPr>
          <w:rFonts w:ascii="Times New Roman" w:cs="Times New Roman" w:eastAsia="楷体" w:hAnsi="Times New Roman"/>
          <w:sz w:val="32"/>
          <w:szCs w:val="32"/>
        </w:rPr>
        <w:t>：</w:t>
      </w:r>
    </w:p>
    <w:p>
      <w:pPr>
        <w:pStyle w:val="style0"/>
        <w:spacing w:lineRule="exact" w:line="600"/>
        <w:ind w:firstLine="640" w:firstLineChars="200"/>
        <w:rPr>
          <w:rFonts w:ascii="Times New Roman" w:cs="Times New Roman" w:eastAsia="仿宋" w:hAnsi="Times New Roman"/>
          <w:sz w:val="32"/>
          <w:szCs w:val="32"/>
        </w:rPr>
      </w:pPr>
      <w:r>
        <w:rPr>
          <w:rFonts w:ascii="Times New Roman" w:cs="Times New Roman" w:eastAsia="楷体" w:hAnsi="Times New Roman"/>
          <w:sz w:val="32"/>
          <w:szCs w:val="32"/>
        </w:rPr>
        <w:t>“五链”：</w:t>
      </w:r>
      <w:r>
        <w:rPr>
          <w:rFonts w:ascii="Times New Roman" w:cs="Times New Roman" w:eastAsia="仿宋" w:hAnsi="Times New Roman"/>
          <w:sz w:val="32"/>
          <w:szCs w:val="32"/>
        </w:rPr>
        <w:t>“煤电网铝加”循环经济、废弃物综合利用、文化旅游会展、生态环保、现代物流全产业链。</w:t>
      </w:r>
    </w:p>
    <w:p>
      <w:pPr>
        <w:pStyle w:val="style0"/>
        <w:spacing w:lineRule="exact" w:line="600"/>
        <w:ind w:firstLine="640" w:firstLineChars="200"/>
        <w:rPr>
          <w:rFonts w:ascii="Times New Roman" w:cs="Times New Roman" w:eastAsia="仿宋" w:hAnsi="Times New Roman"/>
          <w:b/>
          <w:bCs/>
          <w:sz w:val="32"/>
          <w:szCs w:val="32"/>
        </w:rPr>
      </w:pPr>
      <w:r>
        <w:rPr>
          <w:rFonts w:ascii="Times New Roman" w:cs="Times New Roman" w:eastAsia="楷体" w:hAnsi="Times New Roman"/>
          <w:sz w:val="32"/>
          <w:szCs w:val="32"/>
        </w:rPr>
        <w:t>“四区”：</w:t>
      </w:r>
      <w:r>
        <w:rPr>
          <w:rFonts w:ascii="Times New Roman" w:cs="Times New Roman" w:eastAsia="仿宋" w:hAnsi="Times New Roman"/>
          <w:sz w:val="32"/>
          <w:szCs w:val="32"/>
        </w:rPr>
        <w:t>资源型地区转型发展示范区、高载能产业绿色发展试验区、实体经济高质量发展样板区、现代能源经济率先发展先行区。</w:t>
      </w:r>
    </w:p>
    <w:p>
      <w:pPr>
        <w:pStyle w:val="style0"/>
        <w:spacing w:lineRule="exact" w:line="600"/>
        <w:ind w:firstLine="640" w:firstLineChars="200"/>
        <w:rPr>
          <w:rFonts w:ascii="Times New Roman" w:cs="Times New Roman" w:eastAsia="仿宋" w:hAnsi="Times New Roman"/>
          <w:b/>
          <w:bCs/>
          <w:sz w:val="32"/>
          <w:szCs w:val="32"/>
        </w:rPr>
      </w:pPr>
      <w:r>
        <w:rPr>
          <w:rFonts w:ascii="Times New Roman" w:cs="Times New Roman" w:eastAsia="楷体" w:hAnsi="Times New Roman"/>
          <w:sz w:val="32"/>
          <w:szCs w:val="32"/>
        </w:rPr>
        <w:t xml:space="preserve"> “三城”：</w:t>
      </w:r>
      <w:r>
        <w:rPr>
          <w:rFonts w:ascii="Times New Roman" w:cs="Times New Roman" w:eastAsia="仿宋" w:hAnsi="Times New Roman"/>
          <w:sz w:val="32"/>
          <w:szCs w:val="32"/>
        </w:rPr>
        <w:t>千亿霍林郭勒、生态霍林郭勒、幸福霍林郭勒。</w:t>
      </w:r>
    </w:p>
    <w:p>
      <w:pPr>
        <w:pStyle w:val="style0"/>
        <w:spacing w:lineRule="exact" w:line="600"/>
        <w:ind w:firstLine="640" w:firstLineChars="200"/>
        <w:rPr>
          <w:rFonts w:ascii="Times New Roman" w:cs="Times New Roman" w:eastAsia="仿宋" w:hAnsi="Times New Roman"/>
          <w:sz w:val="32"/>
          <w:szCs w:val="32"/>
        </w:rPr>
      </w:pPr>
      <w:r>
        <w:rPr>
          <w:rFonts w:ascii="Times New Roman" w:cs="Times New Roman" w:eastAsia="楷体" w:hAnsi="Times New Roman"/>
          <w:sz w:val="32"/>
          <w:szCs w:val="32"/>
        </w:rPr>
        <w:t>“两基地”：</w:t>
      </w:r>
      <w:r>
        <w:rPr>
          <w:rFonts w:ascii="Times New Roman" w:cs="Times New Roman" w:eastAsia="仿宋" w:hAnsi="Times New Roman"/>
          <w:sz w:val="32"/>
          <w:szCs w:val="32"/>
        </w:rPr>
        <w:t>多种能源集中消纳基地、高端铝材生产加工基地。</w:t>
      </w:r>
    </w:p>
    <w:p>
      <w:pPr>
        <w:pStyle w:val="style0"/>
        <w:spacing w:lineRule="exact" w:line="600"/>
        <w:ind w:firstLine="640" w:firstLineChars="200"/>
        <w:rPr>
          <w:rFonts w:ascii="Times New Roman" w:cs="Times New Roman" w:eastAsia="黑体" w:hAnsi="Times New Roman"/>
          <w:sz w:val="32"/>
          <w:szCs w:val="32"/>
        </w:rPr>
      </w:pPr>
    </w:p>
    <w:p>
      <w:pPr>
        <w:pStyle w:val="style0"/>
        <w:spacing w:lineRule="exact" w:line="600"/>
        <w:ind w:firstLine="640" w:firstLineChars="200"/>
        <w:rPr>
          <w:rFonts w:ascii="Times New Roman" w:cs="Times New Roman" w:eastAsia="黑体" w:hAnsi="Times New Roman"/>
          <w:sz w:val="32"/>
          <w:szCs w:val="32"/>
        </w:rPr>
      </w:pPr>
      <w:r>
        <w:rPr>
          <w:rFonts w:ascii="Times New Roman" w:cs="Times New Roman" w:eastAsia="黑体" w:hAnsi="Times New Roman" w:hint="eastAsia"/>
          <w:sz w:val="32"/>
          <w:szCs w:val="32"/>
          <w:lang w:eastAsia="zh-CN"/>
        </w:rPr>
        <w:t>二、</w:t>
      </w:r>
      <w:r>
        <w:rPr>
          <w:rFonts w:ascii="Times New Roman" w:cs="Times New Roman" w:eastAsia="黑体" w:hAnsi="Times New Roman"/>
          <w:sz w:val="32"/>
          <w:szCs w:val="32"/>
        </w:rPr>
        <w:t>产业集群</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600"/>
        <w:ind w:firstLine="643" w:firstLineChars="200"/>
        <w:textAlignment w:val="auto"/>
        <w:outlineLvl w:val="9"/>
        <w:rPr>
          <w:rFonts w:ascii="Times New Roman" w:cs="Times New Roman" w:eastAsia="仿宋" w:hAnsi="Times New Roman"/>
          <w:b/>
          <w:bCs/>
          <w:sz w:val="32"/>
          <w:szCs w:val="32"/>
        </w:rPr>
      </w:pPr>
      <w:r>
        <w:rPr>
          <w:rFonts w:ascii="Times New Roman" w:cs="Times New Roman" w:eastAsia="仿宋" w:hAnsi="Times New Roman" w:hint="eastAsia"/>
          <w:b/>
          <w:bCs/>
          <w:sz w:val="32"/>
          <w:szCs w:val="32"/>
          <w:lang w:eastAsia="zh-CN"/>
        </w:rPr>
        <w:t>（</w:t>
      </w:r>
      <w:r>
        <w:rPr>
          <w:rFonts w:ascii="Times New Roman" w:cs="Times New Roman" w:eastAsia="仿宋" w:hAnsi="Times New Roman" w:hint="eastAsia"/>
          <w:b/>
          <w:bCs/>
          <w:sz w:val="32"/>
          <w:szCs w:val="32"/>
          <w:lang w:val="en-US" w:eastAsia="zh-CN"/>
        </w:rPr>
        <w:t>一</w:t>
      </w:r>
      <w:r>
        <w:rPr>
          <w:rFonts w:ascii="Times New Roman" w:cs="Times New Roman" w:eastAsia="仿宋" w:hAnsi="Times New Roman" w:hint="eastAsia"/>
          <w:b/>
          <w:bCs/>
          <w:sz w:val="32"/>
          <w:szCs w:val="32"/>
          <w:lang w:eastAsia="zh-CN"/>
        </w:rPr>
        <w:t>）</w:t>
      </w:r>
      <w:r>
        <w:rPr>
          <w:rFonts w:ascii="Times New Roman" w:cs="Times New Roman" w:eastAsia="仿宋" w:hAnsi="Times New Roman"/>
          <w:b/>
          <w:bCs/>
          <w:sz w:val="32"/>
          <w:szCs w:val="32"/>
        </w:rPr>
        <w:t>煤炭产业</w:t>
      </w:r>
    </w:p>
    <w:p>
      <w:pPr>
        <w:pStyle w:val="style0"/>
        <w:spacing w:lineRule="exact" w:line="600"/>
        <w:ind w:firstLine="640" w:firstLineChars="200"/>
        <w:rPr>
          <w:rFonts w:ascii="Times New Roman" w:cs="Times New Roman" w:eastAsia="仿宋" w:hAnsi="仿宋" w:hint="eastAsia"/>
          <w:sz w:val="32"/>
          <w:szCs w:val="32"/>
        </w:rPr>
      </w:pPr>
      <w:r>
        <w:rPr>
          <w:rFonts w:ascii="Times New Roman" w:cs="Times New Roman" w:eastAsia="仿宋" w:hAnsi="仿宋"/>
          <w:sz w:val="32"/>
          <w:szCs w:val="32"/>
        </w:rPr>
        <w:t>拥有全国五大露天煤矿之一的霍林河煤矿，境内煤炭精查储量</w:t>
      </w:r>
      <w:r>
        <w:rPr>
          <w:rFonts w:ascii="Times New Roman" w:cs="Times New Roman" w:eastAsia="仿宋" w:hAnsi="Times New Roman"/>
          <w:sz w:val="32"/>
          <w:szCs w:val="32"/>
        </w:rPr>
        <w:t>119.2</w:t>
      </w:r>
      <w:r>
        <w:rPr>
          <w:rFonts w:ascii="Times New Roman" w:cs="Times New Roman" w:eastAsia="仿宋" w:hAnsi="仿宋"/>
          <w:sz w:val="32"/>
          <w:szCs w:val="32"/>
        </w:rPr>
        <w:t>亿吨，周边</w:t>
      </w:r>
      <w:r>
        <w:rPr>
          <w:rFonts w:ascii="Times New Roman" w:cs="Times New Roman" w:eastAsia="仿宋" w:hAnsi="Times New Roman"/>
          <w:sz w:val="32"/>
          <w:szCs w:val="32"/>
        </w:rPr>
        <w:t>200</w:t>
      </w:r>
      <w:r>
        <w:rPr>
          <w:rFonts w:ascii="Times New Roman" w:cs="Times New Roman" w:eastAsia="仿宋" w:hAnsi="仿宋"/>
          <w:sz w:val="32"/>
          <w:szCs w:val="32"/>
        </w:rPr>
        <w:t>公里范围内已探明储量</w:t>
      </w:r>
      <w:r>
        <w:rPr>
          <w:rFonts w:ascii="Times New Roman" w:cs="Times New Roman" w:eastAsia="仿宋" w:hAnsi="Times New Roman"/>
          <w:sz w:val="32"/>
          <w:szCs w:val="32"/>
        </w:rPr>
        <w:t>500</w:t>
      </w:r>
      <w:r>
        <w:rPr>
          <w:rFonts w:ascii="Times New Roman" w:cs="Times New Roman" w:eastAsia="仿宋" w:hAnsi="仿宋"/>
          <w:sz w:val="32"/>
          <w:szCs w:val="32"/>
        </w:rPr>
        <w:t>亿吨以上，年产量超过</w:t>
      </w:r>
      <w:r>
        <w:rPr>
          <w:rFonts w:ascii="Times New Roman" w:cs="Times New Roman" w:eastAsia="仿宋" w:hAnsi="Times New Roman" w:hint="eastAsia"/>
          <w:sz w:val="32"/>
          <w:szCs w:val="32"/>
        </w:rPr>
        <w:t>5000万</w:t>
      </w:r>
      <w:r>
        <w:rPr>
          <w:rFonts w:ascii="Times New Roman" w:cs="Times New Roman" w:eastAsia="仿宋" w:hAnsi="仿宋"/>
          <w:sz w:val="32"/>
          <w:szCs w:val="32"/>
        </w:rPr>
        <w:t>吨，是国家、自治区规划的亿吨级煤炭基地和重要能源接续基地。</w:t>
      </w:r>
      <w:r>
        <w:rPr>
          <w:rFonts w:ascii="Times New Roman" w:cs="Times New Roman" w:eastAsia="仿宋" w:hAnsi="仿宋" w:hint="eastAsia"/>
          <w:sz w:val="32"/>
          <w:szCs w:val="32"/>
        </w:rPr>
        <w:t>其中霍市境内现有煤炭企业11家，露天煤业及市属10家小煤矿，总产能3325万吨/年。</w:t>
      </w:r>
    </w:p>
    <w:p>
      <w:pPr>
        <w:pStyle w:val="style0"/>
        <w:keepNext w:val="false"/>
        <w:keepLines w:val="false"/>
        <w:pageBreakBefore w:val="false"/>
        <w:numPr>
          <w:ilvl w:val="0"/>
          <w:numId w:val="0"/>
        </w:numPr>
        <w:kinsoku/>
        <w:wordWrap/>
        <w:overflowPunct/>
        <w:topLinePunct w:val="false"/>
        <w:autoSpaceDE/>
        <w:autoSpaceDN/>
        <w:bidi w:val="false"/>
        <w:adjustRightInd/>
        <w:snapToGrid/>
        <w:spacing w:lineRule="exact" w:line="600"/>
        <w:ind w:firstLine="643" w:firstLineChars="200"/>
        <w:textAlignment w:val="auto"/>
        <w:outlineLvl w:val="9"/>
        <w:rPr>
          <w:rFonts w:ascii="Times New Roman" w:cs="Times New Roman" w:eastAsia="仿宋" w:hAnsi="Times New Roman"/>
          <w:b/>
          <w:bCs/>
          <w:sz w:val="32"/>
          <w:szCs w:val="32"/>
        </w:rPr>
      </w:pPr>
      <w:r>
        <w:rPr>
          <w:rFonts w:ascii="Times New Roman" w:cs="Times New Roman" w:eastAsia="仿宋" w:hAnsi="Times New Roman" w:hint="eastAsia"/>
          <w:b/>
          <w:bCs/>
          <w:sz w:val="32"/>
          <w:szCs w:val="32"/>
          <w:lang w:eastAsia="zh-CN"/>
        </w:rPr>
        <w:t>（</w:t>
      </w:r>
      <w:r>
        <w:rPr>
          <w:rFonts w:ascii="Times New Roman" w:cs="Times New Roman" w:eastAsia="仿宋" w:hAnsi="Times New Roman" w:hint="eastAsia"/>
          <w:b/>
          <w:bCs/>
          <w:sz w:val="32"/>
          <w:szCs w:val="32"/>
          <w:lang w:val="en-US" w:eastAsia="zh-CN"/>
        </w:rPr>
        <w:t>二</w:t>
      </w:r>
      <w:r>
        <w:rPr>
          <w:rFonts w:ascii="Times New Roman" w:cs="Times New Roman" w:eastAsia="仿宋" w:hAnsi="Times New Roman" w:hint="eastAsia"/>
          <w:b/>
          <w:bCs/>
          <w:sz w:val="32"/>
          <w:szCs w:val="32"/>
          <w:lang w:eastAsia="zh-CN"/>
        </w:rPr>
        <w:t>）</w:t>
      </w:r>
      <w:r>
        <w:rPr>
          <w:rFonts w:ascii="Times New Roman" w:cs="Times New Roman" w:eastAsia="仿宋" w:hAnsi="Times New Roman"/>
          <w:b/>
          <w:bCs/>
          <w:sz w:val="32"/>
          <w:szCs w:val="32"/>
        </w:rPr>
        <w:t>电力产业</w:t>
      </w:r>
    </w:p>
    <w:p>
      <w:pPr>
        <w:pStyle w:val="style0"/>
        <w:keepNext w:val="false"/>
        <w:keepLines w:val="false"/>
        <w:pageBreakBefore w:val="false"/>
        <w:widowControl/>
        <w:kinsoku/>
        <w:wordWrap/>
        <w:overflowPunct/>
        <w:topLinePunct w:val="false"/>
        <w:autoSpaceDE/>
        <w:autoSpaceDN/>
        <w:bidi w:val="false"/>
        <w:adjustRightInd/>
        <w:snapToGrid/>
        <w:ind w:firstLine="640" w:firstLineChars="200"/>
        <w:jc w:val="left"/>
        <w:textAlignment w:val="auto"/>
        <w:outlineLvl w:val="9"/>
        <w:rPr>
          <w:rFonts w:ascii="Times New Roman" w:cs="Times New Roman" w:eastAsia="仿宋" w:hAnsi="仿宋"/>
          <w:sz w:val="32"/>
          <w:szCs w:val="32"/>
        </w:rPr>
      </w:pPr>
      <w:r>
        <w:rPr>
          <w:rFonts w:ascii="Times New Roman" w:cs="Times New Roman" w:eastAsia="仿宋" w:hAnsi="仿宋"/>
          <w:sz w:val="32"/>
          <w:szCs w:val="32"/>
        </w:rPr>
        <w:t>通过建设坑口电厂、自备电厂、上网火电机组，变廉价煤劣势为低电价优势，从源头控制生产成本，倾力打造电力供给洼地，目前电力装机达</w:t>
      </w:r>
      <w:r>
        <w:rPr>
          <w:rFonts w:ascii="Times New Roman" w:cs="Times New Roman" w:eastAsia="仿宋" w:hAnsi="Times New Roman"/>
          <w:sz w:val="32"/>
          <w:szCs w:val="32"/>
        </w:rPr>
        <w:t>443.75</w:t>
      </w:r>
      <w:r>
        <w:rPr>
          <w:rFonts w:ascii="Times New Roman" w:cs="Times New Roman" w:eastAsia="仿宋" w:hAnsi="仿宋"/>
          <w:sz w:val="32"/>
          <w:szCs w:val="32"/>
        </w:rPr>
        <w:t>万千瓦，年发电</w:t>
      </w:r>
      <w:r>
        <w:rPr>
          <w:rFonts w:ascii="Times New Roman" w:cs="Times New Roman" w:eastAsia="仿宋" w:hAnsi="Times New Roman" w:hint="eastAsia"/>
          <w:sz w:val="32"/>
          <w:szCs w:val="32"/>
          <w:lang w:val="en-US" w:eastAsia="zh-CN"/>
        </w:rPr>
        <w:t>270</w:t>
      </w:r>
      <w:r>
        <w:rPr>
          <w:rFonts w:ascii="Times New Roman" w:cs="Times New Roman" w:eastAsia="仿宋" w:hAnsi="仿宋"/>
          <w:sz w:val="32"/>
          <w:szCs w:val="32"/>
        </w:rPr>
        <w:t>亿度</w:t>
      </w:r>
      <w:r>
        <w:rPr>
          <w:rFonts w:ascii="Times New Roman" w:cs="Times New Roman" w:eastAsia="仿宋" w:hAnsi="仿宋" w:hint="eastAsia"/>
          <w:sz w:val="32"/>
          <w:szCs w:val="32"/>
          <w:lang w:val="en-US" w:eastAsia="zh-CN"/>
        </w:rPr>
        <w:t>以上</w:t>
      </w:r>
      <w:r>
        <w:rPr>
          <w:rFonts w:ascii="Times New Roman" w:cs="Times New Roman" w:eastAsia="仿宋" w:hAnsi="仿宋"/>
          <w:sz w:val="32"/>
          <w:szCs w:val="32"/>
        </w:rPr>
        <w:t>。</w:t>
      </w:r>
    </w:p>
    <w:p>
      <w:pPr>
        <w:pStyle w:val="style0"/>
        <w:keepNext w:val="false"/>
        <w:keepLines w:val="false"/>
        <w:pageBreakBefore w:val="false"/>
        <w:widowControl/>
        <w:kinsoku/>
        <w:wordWrap/>
        <w:overflowPunct/>
        <w:topLinePunct w:val="false"/>
        <w:autoSpaceDE/>
        <w:autoSpaceDN/>
        <w:bidi w:val="false"/>
        <w:adjustRightInd/>
        <w:snapToGrid/>
        <w:ind w:firstLine="643" w:firstLineChars="200"/>
        <w:jc w:val="left"/>
        <w:textAlignment w:val="auto"/>
        <w:outlineLvl w:val="9"/>
        <w:rPr>
          <w:rFonts w:ascii="Times New Roman" w:cs="Times New Roman" w:eastAsia="仿宋_GB2312" w:hAnsi="Times New Roman"/>
          <w:sz w:val="32"/>
          <w:szCs w:val="32"/>
        </w:rPr>
      </w:pPr>
      <w:r>
        <w:rPr>
          <w:rFonts w:ascii="Times New Roman" w:cs="Times New Roman" w:eastAsia="仿宋" w:hAnsi="Times New Roman" w:hint="eastAsia"/>
          <w:b/>
          <w:bCs/>
          <w:sz w:val="32"/>
          <w:szCs w:val="32"/>
          <w:lang w:eastAsia="zh-CN"/>
        </w:rPr>
        <w:t>（</w:t>
      </w:r>
      <w:r>
        <w:rPr>
          <w:rFonts w:ascii="Times New Roman" w:cs="Times New Roman" w:eastAsia="仿宋" w:hAnsi="Times New Roman" w:hint="eastAsia"/>
          <w:b/>
          <w:bCs/>
          <w:sz w:val="32"/>
          <w:szCs w:val="32"/>
          <w:lang w:val="en-US" w:eastAsia="zh-CN"/>
        </w:rPr>
        <w:t>三</w:t>
      </w:r>
      <w:r>
        <w:rPr>
          <w:rFonts w:ascii="Times New Roman" w:cs="Times New Roman" w:eastAsia="仿宋" w:hAnsi="Times New Roman" w:hint="eastAsia"/>
          <w:b/>
          <w:bCs/>
          <w:sz w:val="32"/>
          <w:szCs w:val="32"/>
          <w:lang w:eastAsia="zh-CN"/>
        </w:rPr>
        <w:t>）</w:t>
      </w:r>
      <w:r>
        <w:rPr>
          <w:rFonts w:ascii="Times New Roman" w:cs="Times New Roman" w:eastAsia="仿宋" w:hAnsi="Times New Roman"/>
          <w:b/>
          <w:bCs/>
          <w:sz w:val="32"/>
          <w:szCs w:val="32"/>
        </w:rPr>
        <w:t>冶金产业</w:t>
      </w:r>
    </w:p>
    <w:p>
      <w:pPr>
        <w:pStyle w:val="style0"/>
        <w:spacing w:lineRule="exact" w:line="560"/>
        <w:ind w:firstLine="640" w:firstLineChars="200"/>
        <w:rPr>
          <w:rFonts w:ascii="Times New Roman" w:cs="Times New Roman" w:eastAsia="仿宋" w:hAnsi="Times New Roman"/>
          <w:sz w:val="32"/>
          <w:szCs w:val="32"/>
        </w:rPr>
      </w:pPr>
      <w:r>
        <w:rPr>
          <w:rFonts w:ascii="Times New Roman" w:cs="Times New Roman" w:eastAsia="仿宋" w:hAnsi="仿宋" w:hint="eastAsia"/>
          <w:sz w:val="32"/>
          <w:szCs w:val="32"/>
          <w:lang w:val="en-US" w:eastAsia="zh-CN"/>
        </w:rPr>
        <w:t>已形成</w:t>
      </w:r>
      <w:r>
        <w:rPr>
          <w:rFonts w:ascii="Times New Roman" w:cs="Times New Roman" w:eastAsia="仿宋" w:hAnsi="仿宋"/>
          <w:sz w:val="32"/>
          <w:szCs w:val="32"/>
        </w:rPr>
        <w:t>电解铝产能</w:t>
      </w:r>
      <w:r>
        <w:rPr>
          <w:rFonts w:ascii="Times New Roman" w:cs="Times New Roman" w:eastAsia="仿宋" w:hAnsi="仿宋" w:hint="eastAsia"/>
          <w:sz w:val="32"/>
          <w:szCs w:val="32"/>
          <w:lang w:val="en-US" w:eastAsia="zh-CN"/>
        </w:rPr>
        <w:t>22</w:t>
      </w:r>
      <w:r>
        <w:rPr>
          <w:rFonts w:ascii="Times New Roman" w:cs="Times New Roman" w:eastAsia="仿宋" w:hAnsi="仿宋"/>
          <w:sz w:val="32"/>
          <w:szCs w:val="32"/>
        </w:rPr>
        <w:t>8</w:t>
      </w:r>
      <w:r>
        <w:rPr>
          <w:rFonts w:ascii="Times New Roman" w:cs="Times New Roman" w:eastAsia="仿宋" w:hAnsi="仿宋"/>
          <w:sz w:val="32"/>
          <w:szCs w:val="32"/>
        </w:rPr>
        <w:t>万吨</w:t>
      </w:r>
      <w:r>
        <w:rPr>
          <w:rFonts w:ascii="Times New Roman" w:cs="Times New Roman" w:eastAsia="仿宋" w:hAnsi="仿宋" w:hint="eastAsia"/>
          <w:sz w:val="32"/>
          <w:szCs w:val="32"/>
          <w:lang w:val="en-US" w:eastAsia="zh-CN"/>
        </w:rPr>
        <w:t>/年</w:t>
      </w:r>
      <w:r>
        <w:rPr>
          <w:rFonts w:ascii="Times New Roman" w:cs="Times New Roman" w:eastAsia="仿宋" w:hAnsi="仿宋" w:hint="eastAsia"/>
          <w:sz w:val="32"/>
          <w:szCs w:val="32"/>
          <w:lang w:eastAsia="zh-CN"/>
        </w:rPr>
        <w:t>，</w:t>
      </w:r>
      <w:r>
        <w:rPr>
          <w:rFonts w:ascii="Times New Roman" w:cs="Times New Roman" w:eastAsia="仿宋" w:hAnsi="仿宋"/>
          <w:sz w:val="32"/>
          <w:szCs w:val="32"/>
        </w:rPr>
        <w:t>铝精深加工能力达到189</w:t>
      </w:r>
      <w:r>
        <w:rPr>
          <w:rFonts w:ascii="Times New Roman" w:cs="Times New Roman" w:eastAsia="仿宋" w:hAnsi="仿宋"/>
          <w:sz w:val="32"/>
          <w:szCs w:val="32"/>
        </w:rPr>
        <w:t>万吨</w:t>
      </w:r>
      <w:r>
        <w:rPr>
          <w:rFonts w:ascii="Times New Roman" w:cs="Times New Roman" w:eastAsia="仿宋" w:hAnsi="仿宋" w:hint="eastAsia"/>
          <w:sz w:val="32"/>
          <w:szCs w:val="32"/>
          <w:lang w:val="en-US" w:eastAsia="zh-CN"/>
        </w:rPr>
        <w:t>/年；经内蒙古</w:t>
      </w:r>
      <w:r>
        <w:rPr>
          <w:rFonts w:ascii="Times New Roman" w:cs="Times New Roman" w:eastAsia="仿宋" w:hAnsi="仿宋" w:hint="eastAsia"/>
          <w:sz w:val="32"/>
          <w:szCs w:val="32"/>
        </w:rPr>
        <w:t>自治区批复，核定</w:t>
      </w:r>
      <w:r>
        <w:rPr>
          <w:rFonts w:ascii="Times New Roman" w:cs="Times New Roman" w:eastAsia="仿宋" w:hAnsi="仿宋" w:hint="eastAsia"/>
          <w:sz w:val="32"/>
          <w:szCs w:val="32"/>
          <w:lang w:val="en-US" w:eastAsia="zh-CN"/>
        </w:rPr>
        <w:t>霍林郭勒</w:t>
      </w:r>
      <w:r>
        <w:rPr>
          <w:rFonts w:ascii="Times New Roman" w:cs="Times New Roman" w:eastAsia="仿宋" w:hAnsi="仿宋" w:hint="eastAsia"/>
          <w:sz w:val="32"/>
          <w:szCs w:val="32"/>
        </w:rPr>
        <w:t>市电解铝产能</w:t>
      </w:r>
      <w:r>
        <w:rPr>
          <w:rFonts w:ascii="Times New Roman" w:cs="Times New Roman" w:eastAsia="仿宋" w:hAnsi="仿宋" w:hint="eastAsia"/>
          <w:sz w:val="32"/>
          <w:szCs w:val="32"/>
          <w:lang w:val="en-US" w:eastAsia="zh-CN"/>
        </w:rPr>
        <w:t>可达到</w:t>
      </w:r>
      <w:r>
        <w:rPr>
          <w:rFonts w:ascii="Times New Roman" w:cs="Times New Roman" w:eastAsia="仿宋" w:hAnsi="仿宋" w:hint="eastAsia"/>
          <w:sz w:val="32"/>
          <w:szCs w:val="32"/>
        </w:rPr>
        <w:t>350万吨/年，通过招商引资力争</w:t>
      </w:r>
      <w:r>
        <w:rPr>
          <w:rFonts w:ascii="Times New Roman" w:cs="Times New Roman" w:eastAsia="仿宋" w:hAnsi="仿宋"/>
          <w:sz w:val="32"/>
          <w:szCs w:val="32"/>
        </w:rPr>
        <w:t>实现</w:t>
      </w:r>
      <w:r>
        <w:rPr>
          <w:rFonts w:ascii="Times New Roman" w:cs="Times New Roman" w:eastAsia="仿宋" w:hAnsi="Times New Roman"/>
          <w:sz w:val="32"/>
          <w:szCs w:val="32"/>
        </w:rPr>
        <w:t>100%</w:t>
      </w:r>
      <w:r>
        <w:rPr>
          <w:rFonts w:ascii="Times New Roman" w:cs="Times New Roman" w:eastAsia="仿宋" w:hAnsi="仿宋"/>
          <w:sz w:val="32"/>
          <w:szCs w:val="32"/>
        </w:rPr>
        <w:t>就地精深加工转化，倾力打造全国重要的铝产业集群基地。</w:t>
      </w:r>
    </w:p>
    <w:p>
      <w:pPr>
        <w:pStyle w:val="style0"/>
        <w:spacing w:lineRule="exact" w:line="560"/>
        <w:ind w:firstLine="643" w:firstLineChars="200"/>
        <w:rPr>
          <w:rFonts w:ascii="Times New Roman" w:cs="Times New Roman" w:eastAsia="仿宋" w:hAnsi="Times New Roman"/>
          <w:b/>
          <w:bCs/>
          <w:sz w:val="32"/>
          <w:szCs w:val="32"/>
        </w:rPr>
      </w:pPr>
      <w:r>
        <w:rPr>
          <w:rFonts w:ascii="Times New Roman" w:cs="Times New Roman" w:eastAsia="仿宋" w:hAnsi="Times New Roman" w:hint="eastAsia"/>
          <w:b/>
          <w:bCs/>
          <w:sz w:val="32"/>
          <w:szCs w:val="32"/>
          <w:lang w:eastAsia="zh-CN"/>
        </w:rPr>
        <w:t>（</w:t>
      </w:r>
      <w:r>
        <w:rPr>
          <w:rFonts w:ascii="Times New Roman" w:cs="Times New Roman" w:eastAsia="仿宋" w:hAnsi="Times New Roman" w:hint="eastAsia"/>
          <w:b/>
          <w:bCs/>
          <w:sz w:val="32"/>
          <w:szCs w:val="32"/>
          <w:lang w:val="en-US" w:eastAsia="zh-CN"/>
        </w:rPr>
        <w:t>四</w:t>
      </w:r>
      <w:r>
        <w:rPr>
          <w:rFonts w:ascii="Times New Roman" w:cs="Times New Roman" w:eastAsia="仿宋" w:hAnsi="Times New Roman" w:hint="eastAsia"/>
          <w:b/>
          <w:bCs/>
          <w:sz w:val="32"/>
          <w:szCs w:val="32"/>
          <w:lang w:eastAsia="zh-CN"/>
        </w:rPr>
        <w:t>）</w:t>
      </w:r>
      <w:r>
        <w:rPr>
          <w:rFonts w:ascii="Times New Roman" w:cs="Times New Roman" w:eastAsia="仿宋" w:hAnsi="Times New Roman"/>
          <w:b/>
          <w:bCs/>
          <w:sz w:val="32"/>
          <w:szCs w:val="32"/>
        </w:rPr>
        <w:t>循环经济</w:t>
      </w:r>
    </w:p>
    <w:p>
      <w:pPr>
        <w:pStyle w:val="style0"/>
        <w:spacing w:lineRule="exact" w:line="560"/>
        <w:ind w:firstLine="640" w:firstLineChars="200"/>
        <w:rPr>
          <w:rFonts w:ascii="Times New Roman" w:cs="Times New Roman" w:eastAsia="仿宋" w:hAnsi="仿宋"/>
          <w:sz w:val="32"/>
          <w:szCs w:val="32"/>
        </w:rPr>
      </w:pPr>
      <w:r>
        <w:rPr>
          <w:rFonts w:ascii="Times New Roman" w:cs="Times New Roman" w:eastAsia="仿宋" w:hAnsi="仿宋"/>
          <w:sz w:val="32"/>
          <w:szCs w:val="32"/>
        </w:rPr>
        <w:t>引</w:t>
      </w:r>
      <w:r>
        <w:rPr>
          <w:rFonts w:ascii="Times New Roman" w:cs="Times New Roman" w:eastAsia="仿宋" w:hAnsi="仿宋" w:hint="eastAsia"/>
          <w:sz w:val="32"/>
          <w:szCs w:val="32"/>
        </w:rPr>
        <w:t>进</w:t>
      </w:r>
      <w:r>
        <w:rPr>
          <w:rFonts w:ascii="Times New Roman" w:cs="Times New Roman" w:eastAsia="仿宋" w:hAnsi="仿宋"/>
          <w:sz w:val="32"/>
          <w:szCs w:val="32"/>
        </w:rPr>
        <w:t>山水水泥、蓝天伟业、铭浩石膏、清源再生、格润环保等为龙头的</w:t>
      </w:r>
      <w:r>
        <w:rPr>
          <w:rFonts w:ascii="Times New Roman" w:cs="Times New Roman" w:eastAsia="仿宋" w:hAnsi="Times New Roman"/>
          <w:sz w:val="32"/>
          <w:szCs w:val="32"/>
        </w:rPr>
        <w:t>10</w:t>
      </w:r>
      <w:r>
        <w:rPr>
          <w:rFonts w:ascii="Times New Roman" w:cs="Times New Roman" w:eastAsia="仿宋" w:hAnsi="仿宋"/>
          <w:sz w:val="32"/>
          <w:szCs w:val="32"/>
        </w:rPr>
        <w:t>余家资源综合利用企业，工业废渣、脱硫石膏、粉煤灰等废弃物被资源化综合利用，广泛应用于水泥、加气砖、纳米复合板、漂珠、白炭黑、高强石膏粉等产品生产，工业固废物综合利用率全面提高，年转化利用电厂粉煤灰</w:t>
      </w:r>
      <w:r>
        <w:rPr>
          <w:rFonts w:ascii="Times New Roman" w:cs="Times New Roman" w:eastAsia="仿宋" w:hAnsi="仿宋" w:hint="eastAsia"/>
          <w:sz w:val="32"/>
          <w:szCs w:val="32"/>
          <w:lang w:val="en-US" w:eastAsia="zh-CN"/>
        </w:rPr>
        <w:t>约</w:t>
      </w:r>
      <w:r>
        <w:rPr>
          <w:rFonts w:ascii="Times New Roman" w:cs="Times New Roman" w:eastAsia="仿宋" w:hAnsi="Times New Roman"/>
          <w:sz w:val="32"/>
          <w:szCs w:val="32"/>
        </w:rPr>
        <w:t>300</w:t>
      </w:r>
      <w:r>
        <w:rPr>
          <w:rFonts w:ascii="Times New Roman" w:cs="Times New Roman" w:eastAsia="仿宋" w:hAnsi="仿宋"/>
          <w:sz w:val="32"/>
          <w:szCs w:val="32"/>
        </w:rPr>
        <w:t>万吨、脱硫石膏</w:t>
      </w:r>
      <w:r>
        <w:rPr>
          <w:rFonts w:ascii="Times New Roman" w:cs="Times New Roman" w:eastAsia="仿宋" w:hAnsi="仿宋" w:hint="eastAsia"/>
          <w:sz w:val="32"/>
          <w:szCs w:val="32"/>
          <w:lang w:val="en-US" w:eastAsia="zh-CN"/>
        </w:rPr>
        <w:t>约</w:t>
      </w:r>
      <w:r>
        <w:rPr>
          <w:rFonts w:ascii="Times New Roman" w:cs="Times New Roman" w:eastAsia="仿宋" w:hAnsi="Times New Roman"/>
          <w:sz w:val="32"/>
          <w:szCs w:val="32"/>
        </w:rPr>
        <w:t>50</w:t>
      </w:r>
      <w:r>
        <w:rPr>
          <w:rFonts w:ascii="Times New Roman" w:cs="Times New Roman" w:eastAsia="仿宋" w:hAnsi="仿宋"/>
          <w:sz w:val="32"/>
          <w:szCs w:val="32"/>
        </w:rPr>
        <w:t>万吨。</w:t>
      </w:r>
    </w:p>
    <w:p>
      <w:pPr>
        <w:pStyle w:val="style0"/>
        <w:spacing w:lineRule="exact" w:line="560"/>
        <w:ind w:firstLine="643" w:firstLineChars="200"/>
        <w:rPr>
          <w:rFonts w:ascii="Times New Roman" w:cs="Times New Roman" w:eastAsia="仿宋" w:hAnsi="Times New Roman"/>
          <w:b/>
          <w:bCs/>
          <w:sz w:val="32"/>
          <w:szCs w:val="32"/>
        </w:rPr>
      </w:pPr>
      <w:r>
        <w:rPr>
          <w:rFonts w:ascii="Times New Roman" w:cs="Times New Roman" w:eastAsia="仿宋" w:hAnsi="Times New Roman" w:hint="eastAsia"/>
          <w:b/>
          <w:bCs/>
          <w:sz w:val="32"/>
          <w:szCs w:val="32"/>
          <w:lang w:eastAsia="zh-CN"/>
        </w:rPr>
        <w:t>（</w:t>
      </w:r>
      <w:r>
        <w:rPr>
          <w:rFonts w:ascii="Times New Roman" w:cs="Times New Roman" w:eastAsia="仿宋" w:hAnsi="Times New Roman" w:hint="eastAsia"/>
          <w:b/>
          <w:bCs/>
          <w:sz w:val="32"/>
          <w:szCs w:val="32"/>
          <w:lang w:val="en-US" w:eastAsia="zh-CN"/>
        </w:rPr>
        <w:t>五</w:t>
      </w:r>
      <w:r>
        <w:rPr>
          <w:rFonts w:ascii="Times New Roman" w:cs="Times New Roman" w:eastAsia="仿宋" w:hAnsi="Times New Roman" w:hint="eastAsia"/>
          <w:b/>
          <w:bCs/>
          <w:sz w:val="32"/>
          <w:szCs w:val="32"/>
          <w:lang w:eastAsia="zh-CN"/>
        </w:rPr>
        <w:t>）</w:t>
      </w:r>
      <w:r>
        <w:rPr>
          <w:rFonts w:ascii="Times New Roman" w:cs="Times New Roman" w:eastAsia="仿宋" w:hAnsi="Times New Roman"/>
          <w:b/>
          <w:bCs/>
          <w:sz w:val="32"/>
          <w:szCs w:val="32"/>
        </w:rPr>
        <w:t>旅游产业</w:t>
      </w:r>
    </w:p>
    <w:p>
      <w:pPr>
        <w:pStyle w:val="style0"/>
        <w:spacing w:lineRule="exact" w:line="560"/>
        <w:ind w:firstLine="640" w:firstLineChars="200"/>
        <w:rPr>
          <w:rFonts w:ascii="Times New Roman" w:cs="Times New Roman" w:eastAsia="仿宋" w:hAnsi="Times New Roman"/>
          <w:sz w:val="32"/>
          <w:szCs w:val="32"/>
        </w:rPr>
      </w:pPr>
      <w:r>
        <w:rPr>
          <w:rFonts w:ascii="Times New Roman" w:cs="Times New Roman" w:eastAsia="仿宋" w:hAnsi="仿宋"/>
          <w:sz w:val="32"/>
          <w:szCs w:val="32"/>
        </w:rPr>
        <w:t>独具特色的霍林郭勒</w:t>
      </w:r>
      <w:r>
        <w:rPr>
          <w:rFonts w:ascii="Times New Roman" w:cs="Times New Roman" w:eastAsia="仿宋" w:hAnsi="Times New Roman"/>
          <w:sz w:val="32"/>
          <w:szCs w:val="32"/>
        </w:rPr>
        <w:t>“</w:t>
      </w:r>
      <w:r>
        <w:rPr>
          <w:rFonts w:ascii="Times New Roman" w:cs="Times New Roman" w:eastAsia="仿宋" w:hAnsi="仿宋"/>
          <w:sz w:val="32"/>
          <w:szCs w:val="32"/>
        </w:rPr>
        <w:t>煤电网铝加</w:t>
      </w:r>
      <w:r>
        <w:rPr>
          <w:rFonts w:ascii="Times New Roman" w:cs="Times New Roman" w:eastAsia="仿宋" w:hAnsi="Times New Roman"/>
          <w:sz w:val="32"/>
          <w:szCs w:val="32"/>
        </w:rPr>
        <w:t>”</w:t>
      </w:r>
      <w:r>
        <w:rPr>
          <w:rFonts w:ascii="Times New Roman" w:cs="Times New Roman" w:eastAsia="仿宋" w:hAnsi="仿宋"/>
          <w:sz w:val="32"/>
          <w:szCs w:val="32"/>
        </w:rPr>
        <w:t>一体化产业带动着文化旅游产业的蓬勃发展，原始草原游、避暑观光游、自驾休闲游，已成为霍林郭勒市的三大旅游品牌，形成了自然景观与人文景观相互交融的旅游精品路线。结合通辽市科尔沁</w:t>
      </w:r>
      <w:r>
        <w:rPr>
          <w:rFonts w:ascii="Times New Roman" w:cs="Times New Roman" w:eastAsia="仿宋" w:hAnsi="Times New Roman"/>
          <w:sz w:val="32"/>
          <w:szCs w:val="32"/>
        </w:rPr>
        <w:t>500</w:t>
      </w:r>
      <w:r>
        <w:rPr>
          <w:rFonts w:ascii="Times New Roman" w:cs="Times New Roman" w:eastAsia="仿宋" w:hAnsi="仿宋"/>
          <w:sz w:val="32"/>
          <w:szCs w:val="32"/>
        </w:rPr>
        <w:t>公里风景大道自驾游服务系统建设，深入推进全时全域旅游，重点建设敖包相会可汗山</w:t>
      </w:r>
      <w:r>
        <w:rPr>
          <w:rFonts w:ascii="Times New Roman" w:cs="Times New Roman" w:eastAsia="仿宋" w:hAnsi="Times New Roman"/>
          <w:sz w:val="32"/>
          <w:szCs w:val="32"/>
        </w:rPr>
        <w:t>4A</w:t>
      </w:r>
      <w:r>
        <w:rPr>
          <w:rFonts w:ascii="Times New Roman" w:cs="Times New Roman" w:eastAsia="仿宋" w:hAnsi="仿宋"/>
          <w:sz w:val="32"/>
          <w:szCs w:val="32"/>
        </w:rPr>
        <w:t>级旅游景区，推进可汗山、额仑两个自驾车露营地不断提档升级，将蒙元文化和创业文化融入到旅游发展当中，全力打造蒙东区域旅游集散中心和国内知名草原旅游目的地。</w:t>
      </w:r>
    </w:p>
    <w:p>
      <w:pPr>
        <w:pStyle w:val="style0"/>
        <w:spacing w:lineRule="exact" w:line="560"/>
        <w:ind w:firstLine="640" w:firstLineChars="200"/>
        <w:rPr>
          <w:rFonts w:ascii="Times New Roman" w:cs="Times New Roman" w:eastAsia="黑体" w:hAnsi="Times New Roman"/>
          <w:sz w:val="32"/>
          <w:szCs w:val="32"/>
        </w:rPr>
      </w:pPr>
    </w:p>
    <w:p>
      <w:pPr>
        <w:pStyle w:val="style0"/>
        <w:spacing w:lineRule="exact" w:line="560"/>
        <w:ind w:firstLine="640" w:firstLineChars="200"/>
        <w:rPr>
          <w:rFonts w:ascii="Times New Roman" w:cs="Times New Roman" w:eastAsia="黑体" w:hAnsi="Times New Roman"/>
          <w:sz w:val="32"/>
          <w:szCs w:val="32"/>
        </w:rPr>
      </w:pPr>
    </w:p>
    <w:bookmarkStart w:id="0" w:name="_GoBack"/>
    <w:bookmarkEnd w:id="0"/>
    <w:p>
      <w:pPr>
        <w:pStyle w:val="style0"/>
        <w:spacing w:lineRule="exact" w:line="560"/>
        <w:ind w:firstLine="640" w:firstLineChars="200"/>
        <w:rPr>
          <w:rFonts w:ascii="Times New Roman" w:cs="Times New Roman" w:eastAsia="黑体" w:hAnsi="Times New Roman"/>
          <w:sz w:val="32"/>
          <w:szCs w:val="32"/>
        </w:rPr>
      </w:pPr>
      <w:r>
        <w:rPr>
          <w:rFonts w:ascii="Times New Roman" w:cs="Times New Roman" w:eastAsia="黑体" w:hAnsi="Times New Roman" w:hint="eastAsia"/>
          <w:sz w:val="32"/>
          <w:szCs w:val="32"/>
          <w:lang w:eastAsia="zh-CN"/>
        </w:rPr>
        <w:t>三、</w:t>
      </w:r>
      <w:r>
        <w:rPr>
          <w:rFonts w:ascii="Times New Roman" w:cs="Times New Roman" w:eastAsia="黑体" w:hAnsi="Times New Roman"/>
          <w:sz w:val="32"/>
          <w:szCs w:val="32"/>
        </w:rPr>
        <w:t>投资导向</w:t>
      </w:r>
    </w:p>
    <w:p>
      <w:pPr>
        <w:pStyle w:val="style0"/>
        <w:spacing w:lineRule="exact" w:line="560"/>
        <w:ind w:firstLine="643" w:firstLineChars="200"/>
        <w:rPr>
          <w:rFonts w:ascii="Times New Roman" w:cs="Times New Roman" w:eastAsia="楷体" w:hAnsi="Times New Roman"/>
          <w:b/>
          <w:sz w:val="32"/>
          <w:szCs w:val="32"/>
        </w:rPr>
      </w:pPr>
      <w:r>
        <w:rPr>
          <w:rFonts w:ascii="Times New Roman" w:cs="Times New Roman" w:eastAsia="楷体" w:hAnsi="楷体"/>
          <w:b/>
          <w:sz w:val="32"/>
          <w:szCs w:val="32"/>
        </w:rPr>
        <w:t>（一）</w:t>
      </w:r>
      <w:r>
        <w:rPr>
          <w:rFonts w:ascii="Times New Roman" w:cs="Times New Roman" w:eastAsia="楷体" w:hAnsi="Times New Roman"/>
          <w:b/>
          <w:sz w:val="32"/>
          <w:szCs w:val="32"/>
        </w:rPr>
        <w:t>“</w:t>
      </w:r>
      <w:r>
        <w:rPr>
          <w:rFonts w:ascii="Times New Roman" w:cs="Times New Roman" w:eastAsia="楷体" w:hAnsi="楷体"/>
          <w:b/>
          <w:sz w:val="32"/>
          <w:szCs w:val="32"/>
        </w:rPr>
        <w:t>煤电网铝加</w:t>
      </w:r>
      <w:r>
        <w:rPr>
          <w:rFonts w:ascii="Times New Roman" w:cs="Times New Roman" w:eastAsia="楷体" w:hAnsi="Times New Roman"/>
          <w:b/>
          <w:sz w:val="32"/>
          <w:szCs w:val="32"/>
        </w:rPr>
        <w:t>”</w:t>
      </w:r>
      <w:r>
        <w:rPr>
          <w:rFonts w:ascii="Times New Roman" w:cs="Times New Roman" w:eastAsia="楷体" w:hAnsi="楷体"/>
          <w:b/>
          <w:sz w:val="32"/>
          <w:szCs w:val="32"/>
        </w:rPr>
        <w:t>循环经济产业</w:t>
      </w:r>
    </w:p>
    <w:p>
      <w:pPr>
        <w:pStyle w:val="style0"/>
        <w:spacing w:lineRule="exact" w:line="560"/>
        <w:ind w:firstLine="640" w:firstLineChars="200"/>
        <w:rPr>
          <w:rFonts w:ascii="Times New Roman" w:cs="Times New Roman" w:eastAsia="仿宋" w:hAnsi="Times New Roman"/>
          <w:sz w:val="32"/>
          <w:szCs w:val="32"/>
        </w:rPr>
      </w:pPr>
      <w:r>
        <w:rPr>
          <w:rFonts w:ascii="Times New Roman" w:cs="Times New Roman" w:eastAsia="仿宋" w:hAnsi="Times New Roman" w:hint="eastAsia"/>
          <w:sz w:val="32"/>
          <w:szCs w:val="32"/>
        </w:rPr>
        <w:t xml:space="preserve">在扩大煤炭产能、获得电力指标、强化电网建设、新增电解铝产能等方面取得突破；围绕铝应用范围的不断扩大强化铝产业链，引进汽车轮毂、工业型材、装饰材料、铝制家具、铝箔、线缆、轨道交通、铝粉等高精尖、少冒烟的铝后加工项目；补链项目重点引进碳素阳极、阴极等项目。 </w:t>
      </w:r>
    </w:p>
    <w:p>
      <w:pPr>
        <w:pStyle w:val="style0"/>
        <w:spacing w:lineRule="exact" w:line="560"/>
        <w:ind w:firstLine="643" w:firstLineChars="200"/>
        <w:rPr>
          <w:rFonts w:ascii="Times New Roman" w:cs="Times New Roman" w:eastAsia="楷体" w:hAnsi="Times New Roman"/>
          <w:b/>
          <w:sz w:val="32"/>
          <w:szCs w:val="32"/>
        </w:rPr>
      </w:pPr>
      <w:r>
        <w:rPr>
          <w:rFonts w:ascii="Times New Roman" w:cs="Times New Roman" w:eastAsia="楷体" w:hAnsi="楷体"/>
          <w:b/>
          <w:sz w:val="32"/>
          <w:szCs w:val="32"/>
        </w:rPr>
        <w:t>（二）废弃物综合利用产业</w:t>
      </w:r>
    </w:p>
    <w:p>
      <w:pPr>
        <w:pStyle w:val="style0"/>
        <w:spacing w:lineRule="exact" w:line="560"/>
        <w:ind w:firstLine="640" w:firstLineChars="200"/>
        <w:rPr>
          <w:rFonts w:ascii="Times New Roman" w:cs="Times New Roman" w:eastAsia="仿宋" w:hAnsi="Times New Roman"/>
          <w:sz w:val="32"/>
          <w:szCs w:val="32"/>
        </w:rPr>
      </w:pPr>
      <w:r>
        <w:rPr>
          <w:rFonts w:ascii="Times New Roman" w:cs="Times New Roman" w:eastAsia="仿宋" w:hAnsi="仿宋"/>
          <w:sz w:val="32"/>
          <w:szCs w:val="32"/>
        </w:rPr>
        <w:t>城市垃圾处理及发电；电厂、铝厂固废危废处理技术；粉煤灰综合利用技术等；产废企业配套建设资源化利用和无害化处置设施；危废处置企业技术改造升级，</w:t>
      </w:r>
      <w:r>
        <w:rPr>
          <w:rFonts w:ascii="Times New Roman" w:cs="Times New Roman" w:eastAsia="仿宋" w:hAnsi="Times New Roman"/>
          <w:sz w:val="32"/>
          <w:szCs w:val="32"/>
        </w:rPr>
        <w:t>“</w:t>
      </w:r>
      <w:r>
        <w:rPr>
          <w:rFonts w:ascii="Times New Roman" w:cs="Times New Roman" w:eastAsia="仿宋" w:hAnsi="仿宋"/>
          <w:sz w:val="32"/>
          <w:szCs w:val="32"/>
        </w:rPr>
        <w:t>吃干榨净</w:t>
      </w:r>
      <w:r>
        <w:rPr>
          <w:rFonts w:ascii="Times New Roman" w:cs="Times New Roman" w:eastAsia="仿宋" w:hAnsi="Times New Roman"/>
          <w:sz w:val="32"/>
          <w:szCs w:val="32"/>
        </w:rPr>
        <w:t>”</w:t>
      </w:r>
      <w:r>
        <w:rPr>
          <w:rFonts w:ascii="Times New Roman" w:cs="Times New Roman" w:eastAsia="仿宋" w:hAnsi="仿宋"/>
          <w:sz w:val="32"/>
          <w:szCs w:val="32"/>
        </w:rPr>
        <w:t>技术。</w:t>
      </w:r>
    </w:p>
    <w:p>
      <w:pPr>
        <w:pStyle w:val="style0"/>
        <w:spacing w:lineRule="exact" w:line="560"/>
        <w:ind w:firstLine="643" w:firstLineChars="200"/>
        <w:rPr>
          <w:rFonts w:ascii="Times New Roman" w:cs="Times New Roman" w:eastAsia="楷体" w:hAnsi="Times New Roman"/>
          <w:b/>
          <w:sz w:val="32"/>
          <w:szCs w:val="32"/>
        </w:rPr>
      </w:pPr>
      <w:r>
        <w:rPr>
          <w:rFonts w:ascii="Times New Roman" w:cs="Times New Roman" w:eastAsia="楷体" w:hAnsi="楷体"/>
          <w:b/>
          <w:sz w:val="32"/>
          <w:szCs w:val="32"/>
        </w:rPr>
        <w:t>（三）文化旅游会展产业</w:t>
      </w:r>
    </w:p>
    <w:p>
      <w:pPr>
        <w:pStyle w:val="style0"/>
        <w:spacing w:lineRule="exact" w:line="560"/>
        <w:ind w:firstLine="640" w:firstLineChars="200"/>
        <w:rPr>
          <w:rFonts w:ascii="Times New Roman" w:cs="Times New Roman" w:eastAsia="仿宋" w:hAnsi="仿宋"/>
          <w:sz w:val="32"/>
          <w:szCs w:val="32"/>
        </w:rPr>
      </w:pPr>
      <w:r>
        <w:rPr>
          <w:rFonts w:ascii="Times New Roman" w:cs="Times New Roman" w:eastAsia="仿宋" w:hAnsi="仿宋"/>
          <w:sz w:val="32"/>
          <w:szCs w:val="32"/>
        </w:rPr>
        <w:t>打响旅游婚礼节、草原马拉松、冰雪节等知名品牌，承办全国性铝产业高端峰会，提升</w:t>
      </w:r>
      <w:r>
        <w:rPr>
          <w:rFonts w:ascii="Times New Roman" w:cs="Times New Roman" w:eastAsia="仿宋" w:hAnsi="Times New Roman"/>
          <w:sz w:val="32"/>
          <w:szCs w:val="32"/>
        </w:rPr>
        <w:t>“</w:t>
      </w:r>
      <w:r>
        <w:rPr>
          <w:rFonts w:ascii="Times New Roman" w:cs="Times New Roman" w:eastAsia="仿宋" w:hAnsi="仿宋"/>
          <w:sz w:val="32"/>
          <w:szCs w:val="32"/>
        </w:rPr>
        <w:t>吃住行游购娱</w:t>
      </w:r>
      <w:r>
        <w:rPr>
          <w:rFonts w:ascii="Times New Roman" w:cs="Times New Roman" w:eastAsia="仿宋" w:hAnsi="Times New Roman"/>
          <w:sz w:val="32"/>
          <w:szCs w:val="32"/>
        </w:rPr>
        <w:t>”</w:t>
      </w:r>
      <w:r>
        <w:rPr>
          <w:rFonts w:ascii="Times New Roman" w:cs="Times New Roman" w:eastAsia="仿宋" w:hAnsi="仿宋"/>
          <w:sz w:val="32"/>
          <w:szCs w:val="32"/>
        </w:rPr>
        <w:t>要素保障能力，域内景区提档升级，打造集观光、休闲、置业、度假、健身、康体、保健等于一体的文化旅游会展综合产业。</w:t>
      </w:r>
    </w:p>
    <w:p>
      <w:pPr>
        <w:pStyle w:val="style0"/>
        <w:spacing w:lineRule="exact" w:line="560"/>
        <w:ind w:firstLine="643" w:firstLineChars="200"/>
        <w:rPr>
          <w:rFonts w:ascii="Times New Roman" w:cs="Times New Roman" w:eastAsia="楷体" w:hAnsi="Times New Roman"/>
          <w:b/>
          <w:sz w:val="32"/>
          <w:szCs w:val="32"/>
        </w:rPr>
      </w:pPr>
      <w:r>
        <w:rPr>
          <w:rFonts w:ascii="Times New Roman" w:cs="Times New Roman" w:eastAsia="楷体" w:hAnsi="楷体"/>
          <w:b/>
          <w:sz w:val="32"/>
          <w:szCs w:val="32"/>
        </w:rPr>
        <w:t>（四）生态环保产业</w:t>
      </w:r>
    </w:p>
    <w:p>
      <w:pPr>
        <w:pStyle w:val="style0"/>
        <w:spacing w:lineRule="exact" w:line="560"/>
        <w:ind w:firstLine="640" w:firstLineChars="200"/>
        <w:rPr>
          <w:rFonts w:ascii="Times New Roman" w:cs="Times New Roman" w:eastAsia="仿宋" w:hAnsi="Times New Roman"/>
          <w:sz w:val="32"/>
          <w:szCs w:val="32"/>
        </w:rPr>
      </w:pPr>
      <w:r>
        <w:rPr>
          <w:rFonts w:ascii="Times New Roman" w:cs="Times New Roman" w:eastAsia="仿宋" w:hAnsi="仿宋"/>
          <w:sz w:val="32"/>
          <w:szCs w:val="32"/>
        </w:rPr>
        <w:t>节能环保、清洁生产、清洁能源等产业项目；草原生态恢复项目；霍林河流域生态治理项目；绿色化、特色化、品牌化的高质量生态农牧业项目。</w:t>
      </w:r>
      <w:r>
        <w:rPr>
          <w:rFonts w:ascii="Times New Roman" w:cs="Times New Roman" w:eastAsia="仿宋" w:hAnsi="Times New Roman"/>
          <w:sz w:val="32"/>
          <w:szCs w:val="32"/>
        </w:rPr>
        <w:t xml:space="preserve"> </w:t>
      </w:r>
    </w:p>
    <w:p>
      <w:pPr>
        <w:pStyle w:val="style0"/>
        <w:spacing w:lineRule="exact" w:line="560"/>
        <w:ind w:firstLine="643" w:firstLineChars="200"/>
        <w:rPr>
          <w:rFonts w:ascii="Times New Roman" w:cs="Times New Roman" w:eastAsia="楷体" w:hAnsi="Times New Roman"/>
          <w:b/>
          <w:sz w:val="32"/>
          <w:szCs w:val="32"/>
        </w:rPr>
      </w:pPr>
      <w:r>
        <w:rPr>
          <w:rFonts w:ascii="Times New Roman" w:cs="Times New Roman" w:eastAsia="楷体" w:hAnsi="楷体"/>
          <w:b/>
          <w:sz w:val="32"/>
          <w:szCs w:val="32"/>
        </w:rPr>
        <w:t>（五）现代物流产业</w:t>
      </w:r>
    </w:p>
    <w:p>
      <w:pPr>
        <w:pStyle w:val="style0"/>
        <w:spacing w:lineRule="exact" w:line="560"/>
        <w:ind w:firstLine="640" w:firstLineChars="200"/>
        <w:rPr>
          <w:rFonts w:ascii="Times New Roman" w:cs="Times New Roman" w:eastAsia="仿宋_GB2312" w:hAnsi="Times New Roman"/>
          <w:sz w:val="32"/>
          <w:szCs w:val="32"/>
        </w:rPr>
      </w:pPr>
      <w:r>
        <w:rPr>
          <w:rFonts w:ascii="Times New Roman" w:cs="Times New Roman" w:eastAsia="仿宋" w:hAnsi="仿宋"/>
          <w:sz w:val="32"/>
          <w:szCs w:val="32"/>
          <w:u w:val="none"/>
        </w:rPr>
        <w:t>生产性物流园区和综合性物流园区项目；物流公共信息及跨境电子商务平台项目</w:t>
      </w:r>
      <w:r>
        <w:rPr>
          <w:rFonts w:ascii="Times New Roman" w:cs="Times New Roman" w:eastAsia="仿宋" w:hAnsi="仿宋" w:hint="eastAsia"/>
          <w:sz w:val="32"/>
          <w:szCs w:val="32"/>
          <w:u w:val="none"/>
        </w:rPr>
        <w:t>（信息化时代）</w:t>
      </w:r>
      <w:r>
        <w:rPr>
          <w:rFonts w:ascii="Times New Roman" w:cs="Times New Roman" w:eastAsia="仿宋" w:hAnsi="仿宋"/>
          <w:sz w:val="32"/>
          <w:szCs w:val="32"/>
          <w:u w:val="none"/>
        </w:rPr>
        <w:t>；集装箱物流项目；保税仓库和进出口产品物流集散平台；云计算、大数据产业等。</w:t>
      </w:r>
      <w:r>
        <w:rPr>
          <w:rFonts w:ascii="Times New Roman" w:cs="Times New Roman" w:eastAsia="仿宋" w:hAnsi="仿宋" w:hint="eastAsia"/>
          <w:sz w:val="32"/>
          <w:szCs w:val="32"/>
          <w:u w:val="none"/>
        </w:rPr>
        <w:t>有较大影响力的可以跟踪接洽。</w:t>
      </w:r>
    </w:p>
    <w:sectPr>
      <w:footerReference w:type="default" r:id="rId2"/>
      <w:pgSz w:w="11906" w:h="16838" w:orient="portrait"/>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2EFF" w:usb1="C000247B" w:usb2="00000009" w:usb3="00000000" w:csb0="200001FF" w:csb1="00000000"/>
  </w:font>
  <w:font w:name="方正小标宋简体">
    <w:altName w:val="微软雅黑"/>
    <w:panose1 w:val="02010601030001010101"/>
    <w:charset w:val="86"/>
    <w:family w:val="auto"/>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楷体">
    <w:altName w:val="楷体"/>
    <w:panose1 w:val="02010609060001010101"/>
    <w:charset w:val="86"/>
    <w:family w:val="modern"/>
    <w:pitch w:val="default"/>
    <w:sig w:usb0="800002BF" w:usb1="38CF7CFA" w:usb2="00000016" w:usb3="00000000" w:csb0="00040001" w:csb1="00000000"/>
  </w:font>
  <w:font w:name="微软雅黑">
    <w:altName w:val="微软雅黑"/>
    <w:panose1 w:val="020b0503020002020204"/>
    <w:charset w:val="86"/>
    <w:family w:val="auto"/>
    <w:pitch w:val="default"/>
    <w:sig w:usb0="80000287" w:usb1="2ACF3C50" w:usb2="00000016" w:usb3="00000000" w:csb0="0004001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r>
      <w:rPr/>
      <w:pict>
        <v:shapetype id="_x0000_t202" coordsize="21600,21600" o:spt="202" path="m,l,21600r21600,l21600,xe">
          <v:stroke joinstyle="miter"/>
          <v:path gradientshapeok="t" o:connecttype="rect"/>
        </v:shapetype>
        <v:shape id="4097" type="#_x0000_t202"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joinstyle="miter" weight="0.5pt"/>
          <v:fill/>
          <v:textbox inset="0.0pt,0.0pt,0.0pt,0.0pt" style="mso-fit-shape-to-text:true;">
            <w:txbxContent>
              <w:p>
                <w:pPr>
                  <w:pStyle w:val="style0"/>
                  <w:snapToGrid w:val="false"/>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9"/>
    <w:qFormat/>
    <w:uiPriority w:val="99"/>
    <w:pPr/>
    <w:rPr>
      <w:sz w:val="18"/>
      <w:szCs w:val="18"/>
    </w:rPr>
  </w:style>
  <w:style w:type="paragraph" w:styleId="style32">
    <w:name w:val="footer"/>
    <w:basedOn w:val="style0"/>
    <w:next w:val="style32"/>
    <w:link w:val="style4098"/>
    <w:qFormat/>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99"/>
    <w:pPr>
      <w:widowControl/>
      <w:jc w:val="left"/>
    </w:pPr>
    <w:rPr>
      <w:rFonts w:ascii="宋体" w:cs="宋体" w:eastAsia="宋体" w:hAnsi="宋体"/>
      <w:kern w:val="0"/>
      <w:sz w:val="24"/>
    </w:rPr>
  </w:style>
  <w:style w:type="table" w:styleId="style154">
    <w:name w:val="Table Grid"/>
    <w:basedOn w:val="style105"/>
    <w:next w:val="style154"/>
    <w:qFormat/>
    <w:uiPriority w:val="0"/>
    <w:pPr>
      <w:widowControl w:val="false"/>
      <w:jc w:val="both"/>
    </w:pPr>
    <w:rPr>
      <w:rFonts w:ascii="Times New Roman" w:cs="Times New Roman" w:eastAsia="宋体"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cPr>
      <w:tcBorders/>
    </w:tcPr>
  </w:style>
  <w:style w:type="character" w:customStyle="1" w:styleId="style4097">
    <w:name w:val="页眉 Char"/>
    <w:basedOn w:val="style65"/>
    <w:next w:val="style4097"/>
    <w:link w:val="style31"/>
    <w:uiPriority w:val="99"/>
    <w:rPr>
      <w:sz w:val="18"/>
      <w:szCs w:val="18"/>
    </w:rPr>
  </w:style>
  <w:style w:type="character" w:customStyle="1" w:styleId="style4098">
    <w:name w:val="页脚 Char"/>
    <w:basedOn w:val="style65"/>
    <w:next w:val="style4098"/>
    <w:link w:val="style32"/>
    <w:uiPriority w:val="99"/>
    <w:rPr>
      <w:sz w:val="18"/>
      <w:szCs w:val="18"/>
    </w:rPr>
  </w:style>
  <w:style w:type="paragraph" w:styleId="style179">
    <w:name w:val="List Paragraph"/>
    <w:basedOn w:val="style0"/>
    <w:next w:val="style179"/>
    <w:qFormat/>
    <w:uiPriority w:val="34"/>
    <w:pPr>
      <w:ind w:firstLine="420" w:firstLineChars="200"/>
    </w:pPr>
    <w:rPr/>
  </w:style>
  <w:style w:type="character" w:customStyle="1" w:styleId="style4099">
    <w:name w:val="批注框文本 Char"/>
    <w:basedOn w:val="style65"/>
    <w:next w:val="style4099"/>
    <w:link w:val="style153"/>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19124-F01F-42DB-A82B-99F0AFB50DC6}">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1858</Words>
  <Pages>15</Pages>
  <Characters>1936</Characters>
  <Application>WPS Office</Application>
  <DocSecurity>0</DocSecurity>
  <Paragraphs>39</Paragraphs>
  <ScaleCrop>false</ScaleCrop>
  <Company>Microsoft</Company>
  <LinksUpToDate>false</LinksUpToDate>
  <CharactersWithSpaces>1939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2019-11-06T08:13:26Z</dcterms:created>
  <dc:creator>Administrator</dc:creator>
  <lastModifiedBy>ALP-AL00</lastModifiedBy>
  <lastPrinted>2019-07-25T01:11:00Z</lastPrinted>
  <dcterms:modified xsi:type="dcterms:W3CDTF">2019-11-06T08:13:26Z</dcterms:modified>
  <revision>202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